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Date 00 Month 2021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proofErr w:type="gramStart"/>
      <w:r w:rsidRPr="0037210E">
        <w:rPr>
          <w:rFonts w:asciiTheme="majorHAnsi" w:hAnsiTheme="majorHAnsi" w:cstheme="majorHAnsi"/>
          <w:sz w:val="20"/>
          <w:szCs w:val="20"/>
        </w:rPr>
        <w:t>Your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 xml:space="preserve"> Name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Doing business as the Principal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School name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00 Address, Town/City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Dear Principal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 hope you are keeping well especially in these unprecedented times we find ourselves</w:t>
      </w:r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in.</w:t>
      </w:r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 am writing to you with regard to the issue of face coverings in schools and with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particular regard to the schools’ inevitable policy.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I note that paragraph 92 of the Governments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Covid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19 Response Spring 2021 (1)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states it recommends face coverings with post primary education. It is, therefore, 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matter for the school to decide whether to mandate their use or not.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Studies into the efficacy of face coverings have thus far proved inconclusive,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particularly with regard to the transmission of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Covid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19/Coronavirus (2). In fact, some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studies suggest that prolonged face mask use can cause harm (3). Therefore,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mandating face coverings in the absence of reliable evidence, but with knowledge that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they may in fact cause injury, will potentially lead to claims for damages against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school.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In any event, please note that should the school mandate face coverings, my children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are exempt (4) and are not required to provide explanation or evidence as to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reasons for their exemption. I will consider any questioning of my children or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enforcement of any face covering policy to be discriminatory.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 hope you understand my concerns. I do not wish to appear adversarial, but I am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genuinely concerned about the unintended consequences of prolonged face covering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use. Children have frankly suffered enough, and face coverings will only serve 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inhibit learning, induce fear, and may in fact cause injury. To quote Boris Johnson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himself, they are nonsensical. (5)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 would also like your evidence of how many Track &amp; Trace cases were linked to school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kids and how many cases resulted in hospitalisation and or death? I trust you have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been supplied this evidence by the Education Authority.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Can you also provide evidence as to how many kids transmit or carry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Covid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19? I’m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assuming this has been sent to you by the Education Authority in order for you to fulfil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your Duty of Care to all Children and their families.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For your reference as a Principle: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Principals/Head Teachers - "They have a moral and ethical duty not to cause, or fail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to prevent, physical or psychological injury...Head Teachers/Principals also have 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common law duty of care ‘in loco parentis’ for their pupils (Latin for ‘in the place of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aparent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>’). This duty of care requires a Head Teacher to do all that is reasonably possible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to protect the health, safety and welfare of the pupils within their school."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The risks to children's health (aged 4 - 18) the harms, potential harms of wearing face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coverings/masks including, but not limited to, hypoxia (decrease in oxygen) and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increases CO2 leading to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hypercapnia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&amp; respiratory acidosis and these conditions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from wearing masks/face coverings are well documented in medical &amp; scientific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literature for adults.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In accordance with the Freedom of Information Act 2000: -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1. "Does a medical risk assessment on the mandated wearing of face coverings for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children and young people (13 years old - 18 years old) in classrooms of [insert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name of the school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]-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 xml:space="preserve"> exist? Please answer YES or NO only. If YES please supply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full document.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2. Does a Risk- Benefit Analysis for children wearing face coverings within classrooms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and the school - exist? Please answer YES or NO only. If YES please supply the full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document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 have a few concerns surrounding The Lateral Flow Testing, can you answer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following questions:-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3. Who is the manufacturer(s) of the Lateral Flow tests proposed to be used within NI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post primary schools?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4. The complete ingredient list for the proposed Lateral Flow test.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lastRenderedPageBreak/>
        <w:t>5. Please confirm or deny if the swab of a Lateral Flow has been exposed to ethylene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oxide - a known human cancer-causing agent - World Health Organisation's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International Agency on the Research of Cancer?</w:t>
      </w: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6.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The name of the living man or woman and/or organisation who will be taking on the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full financial and medical liability for any aspect of the COVID-19 medical procedure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(swab of) Lateral flow tests &amp; RT PCR testing including, but not limited to, any harms,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potential harms, injury, illness, loss and damages to my child and/or family. This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includes, but is not limited to, the medical instrument(s) used, the way the test sample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was taken, tested, or handled, and any information or service I &amp; my child &amp; family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receive as part of a COVID-19 test and result.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7. Full disclosure of risks of harm and potential harms; the effect of my child's individual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clinical &amp; non clinical circumstances on the probability of a benefit or harm occurring,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risks of harm and potential benefits that I would consider significant for any reason;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any risk of serious harm, however unlikely it is to occur; and expected harms, including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common and rare side effects and what to do if they occur in accordance 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Montgomery v Lanarkshire Health Board (2015) and the General Medical Council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GMC’s guidance “Decision making and consent” (2020)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I look forward to hearing back from you and thank you in advance for your time on this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important matter.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Kindest regards</w:t>
      </w: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</w:p>
    <w:p w:rsid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</w:p>
    <w:p w:rsidR="0037210E" w:rsidRPr="0037210E" w:rsidRDefault="0037210E" w:rsidP="0037210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(Parent)Of (child)</w:t>
      </w:r>
    </w:p>
    <w:p w:rsid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</w:p>
    <w:p w:rsid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</w:p>
    <w:p w:rsidR="0037210E" w:rsidRP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1. https://www.gov.uk/government/publications/covid-19-response-spring-2021</w:t>
      </w:r>
    </w:p>
    <w:p w:rsidR="0037210E" w:rsidRP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2. https://www.acpjournals.org/doi/10.7326/m20-6817</w:t>
      </w:r>
    </w:p>
    <w:p w:rsidR="0037210E" w:rsidRP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3. https://www.ncbi.nlm.nih.gov/pmc/articles/PMC7207073/</w:t>
      </w:r>
    </w:p>
    <w:p w:rsidR="0037210E" w:rsidRP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4. https://www.publichealth.hscni.net/covid-19-coronavirus/covid-19-informationpublic</w:t>
      </w:r>
    </w:p>
    <w:p w:rsidR="0037210E" w:rsidRPr="0037210E" w:rsidRDefault="0037210E" w:rsidP="0037210E">
      <w:pPr>
        <w:spacing w:after="120" w:line="240" w:lineRule="auto"/>
        <w:ind w:firstLine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5. https://www.bbc.co.uk/news/av/uk-politics-53921151</w:t>
      </w:r>
    </w:p>
    <w:p w:rsidR="0037210E" w:rsidRDefault="0037210E" w:rsidP="0037210E">
      <w:pPr>
        <w:spacing w:after="120" w:line="24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6. Board-certified neurosurgeon, Dr Russell Blaylock Report and Scientific Studies for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your reference. </w:t>
      </w:r>
      <w:hyperlink r:id="rId4" w:history="1">
        <w:r w:rsidRPr="00F20693">
          <w:rPr>
            <w:rStyle w:val="Hyperlink"/>
            <w:rFonts w:asciiTheme="majorHAnsi" w:hAnsiTheme="majorHAnsi" w:cstheme="majorHAnsi"/>
            <w:sz w:val="20"/>
            <w:szCs w:val="20"/>
          </w:rPr>
          <w:t>https://www.technocracy.news/blaylock-face-masks-pose-seriousrisks-to-the-healthy/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References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bin-Reza F et al. The use of mask and respirators to prevent transmission of influenza: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A systematic review of the scientific evidence.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Resp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Viruses 2012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;6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(4):257-67.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Zhu JH et al. Effects of long-duration wearing of N95 respirator and surgical facemask: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a pilot study. J Lung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Pulm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Resp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Res 2014:4:97-100.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Ong JJY et al. Headaches associated with personal protective equipment- A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crosssectional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study among frontline healthcare workers during COVID-19. Headache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2020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;60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(5):864-877.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Bader 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A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 xml:space="preserve"> et al. Preliminary report on surgical mask induced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deoxygenation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during major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surgery.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Neurocirugia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2008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;19:12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-126.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37210E">
        <w:rPr>
          <w:rFonts w:asciiTheme="majorHAnsi" w:hAnsiTheme="majorHAnsi" w:cstheme="majorHAnsi"/>
          <w:sz w:val="20"/>
          <w:szCs w:val="20"/>
        </w:rPr>
        <w:t>Shehade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H et al. Cutting edge: Hypoxia-Inducible Factor-1 negatively regulates Th1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function. J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Immunol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2015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;195:1372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-1376.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37210E">
        <w:rPr>
          <w:rFonts w:asciiTheme="majorHAnsi" w:hAnsiTheme="majorHAnsi" w:cstheme="majorHAnsi"/>
          <w:sz w:val="20"/>
          <w:szCs w:val="20"/>
        </w:rPr>
        <w:t>Westendorf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AM et al. Hypoxia enhances immunosuppression by inhibiting CD4+effector T cell function and promoting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Treg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activity. Cell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Physiol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Biochem</w:t>
      </w:r>
      <w:proofErr w:type="spellEnd"/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2017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;41:1271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-84.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37210E">
        <w:rPr>
          <w:rFonts w:asciiTheme="majorHAnsi" w:hAnsiTheme="majorHAnsi" w:cstheme="majorHAnsi"/>
          <w:sz w:val="20"/>
          <w:szCs w:val="20"/>
        </w:rPr>
        <w:t>Sceneay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J et al. Hypoxia-driven immunosuppression contributes to the pre-metastatic</w:t>
      </w:r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niche.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Oncoimmunology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2013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;2:1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 xml:space="preserve"> e22355.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lastRenderedPageBreak/>
        <w:t xml:space="preserve">Blaylock RL.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Immunoexcitatory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mechanisms in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glioma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proliferation, invasion and</w:t>
      </w:r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occasional metastasis.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Surg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Neurol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Inter 2013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;4:15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Aggarwal BB.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Nucler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factor-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kappaB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>: The enemy within. Cancer Cell 2004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;6:203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 xml:space="preserve">-208.Savransky V et al. Chronic intermittent hypoxia induces atherosclerosis. Am J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Resp</w:t>
      </w:r>
      <w:proofErr w:type="spellEnd"/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Crit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Care Med 2007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;175:1290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-1297.</w:t>
      </w:r>
    </w:p>
    <w:p w:rsidR="0037210E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37210E">
        <w:rPr>
          <w:rFonts w:asciiTheme="majorHAnsi" w:hAnsiTheme="majorHAnsi" w:cstheme="majorHAnsi"/>
          <w:sz w:val="20"/>
          <w:szCs w:val="20"/>
        </w:rPr>
        <w:t>Baig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AM et al. Evidence of the COVID-19 virus targeting the CNS: Tissue distribution,</w:t>
      </w:r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host-virus interaction, and proposed neurotropic mechanisms. ACS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Chem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Neurosci</w:t>
      </w:r>
      <w:proofErr w:type="spellEnd"/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2020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;11:7:995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-998.</w:t>
      </w:r>
    </w:p>
    <w:p w:rsidR="004854E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>Wu Y et al. Nervous system involvement after infection with COVID-19 and other</w:t>
      </w:r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 xml:space="preserve">coronaviruses. Brain </w:t>
      </w:r>
      <w:r w:rsidR="004854EE" w:rsidRPr="0037210E">
        <w:rPr>
          <w:rFonts w:asciiTheme="majorHAnsi" w:hAnsiTheme="majorHAnsi" w:cstheme="majorHAnsi"/>
          <w:sz w:val="20"/>
          <w:szCs w:val="20"/>
        </w:rPr>
        <w:t>Behaviour</w:t>
      </w:r>
      <w:r w:rsidRPr="0037210E">
        <w:rPr>
          <w:rFonts w:asciiTheme="majorHAnsi" w:hAnsiTheme="majorHAnsi" w:cstheme="majorHAnsi"/>
          <w:sz w:val="20"/>
          <w:szCs w:val="20"/>
        </w:rPr>
        <w:t xml:space="preserve">, and Immunity, </w:t>
      </w:r>
    </w:p>
    <w:p w:rsidR="00B21898" w:rsidRPr="0037210E" w:rsidRDefault="0037210E" w:rsidP="004854EE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37210E">
        <w:rPr>
          <w:rFonts w:asciiTheme="majorHAnsi" w:hAnsiTheme="majorHAnsi" w:cstheme="majorHAnsi"/>
          <w:sz w:val="20"/>
          <w:szCs w:val="20"/>
        </w:rPr>
        <w:t xml:space="preserve">In </w:t>
      </w:r>
      <w:proofErr w:type="spellStart"/>
      <w:r w:rsidRPr="0037210E">
        <w:rPr>
          <w:rFonts w:asciiTheme="majorHAnsi" w:hAnsiTheme="majorHAnsi" w:cstheme="majorHAnsi"/>
          <w:sz w:val="20"/>
          <w:szCs w:val="20"/>
        </w:rPr>
        <w:t>press.Perlman</w:t>
      </w:r>
      <w:proofErr w:type="spellEnd"/>
      <w:r w:rsidRPr="0037210E">
        <w:rPr>
          <w:rFonts w:asciiTheme="majorHAnsi" w:hAnsiTheme="majorHAnsi" w:cstheme="majorHAnsi"/>
          <w:sz w:val="20"/>
          <w:szCs w:val="20"/>
        </w:rPr>
        <w:t xml:space="preserve"> S et al. Spread of a neurotropic murine coronavirus into the CNS via the</w:t>
      </w:r>
      <w:r w:rsidR="004854EE">
        <w:rPr>
          <w:rFonts w:asciiTheme="majorHAnsi" w:hAnsiTheme="majorHAnsi" w:cstheme="majorHAnsi"/>
          <w:sz w:val="20"/>
          <w:szCs w:val="20"/>
        </w:rPr>
        <w:t xml:space="preserve"> </w:t>
      </w:r>
      <w:r w:rsidRPr="0037210E">
        <w:rPr>
          <w:rFonts w:asciiTheme="majorHAnsi" w:hAnsiTheme="majorHAnsi" w:cstheme="majorHAnsi"/>
          <w:sz w:val="20"/>
          <w:szCs w:val="20"/>
        </w:rPr>
        <w:t>trigeminal and ol</w:t>
      </w:r>
      <w:bookmarkStart w:id="0" w:name="_GoBack"/>
      <w:bookmarkEnd w:id="0"/>
      <w:r w:rsidRPr="0037210E">
        <w:rPr>
          <w:rFonts w:asciiTheme="majorHAnsi" w:hAnsiTheme="majorHAnsi" w:cstheme="majorHAnsi"/>
          <w:sz w:val="20"/>
          <w:szCs w:val="20"/>
        </w:rPr>
        <w:t>factory nerves. Virology 1989</w:t>
      </w:r>
      <w:proofErr w:type="gramStart"/>
      <w:r w:rsidRPr="0037210E">
        <w:rPr>
          <w:rFonts w:asciiTheme="majorHAnsi" w:hAnsiTheme="majorHAnsi" w:cstheme="majorHAnsi"/>
          <w:sz w:val="20"/>
          <w:szCs w:val="20"/>
        </w:rPr>
        <w:t>;170:556</w:t>
      </w:r>
      <w:proofErr w:type="gramEnd"/>
      <w:r w:rsidRPr="0037210E">
        <w:rPr>
          <w:rFonts w:asciiTheme="majorHAnsi" w:hAnsiTheme="majorHAnsi" w:cstheme="majorHAnsi"/>
          <w:sz w:val="20"/>
          <w:szCs w:val="20"/>
        </w:rPr>
        <w:t>-560</w:t>
      </w:r>
    </w:p>
    <w:sectPr w:rsidR="00B21898" w:rsidRPr="0037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0E"/>
    <w:rsid w:val="0037210E"/>
    <w:rsid w:val="004854EE"/>
    <w:rsid w:val="00B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C1797-CEAC-4460-9195-78FF2EFB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chnocracy.news/blaylock-face-masks-pose-seriousrisks-to-the-healt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2021-06-30T12:12:00Z</dcterms:created>
  <dcterms:modified xsi:type="dcterms:W3CDTF">2021-06-30T12:28:00Z</dcterms:modified>
</cp:coreProperties>
</file>